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A2C7" w14:textId="3BC75505" w:rsidR="00774107" w:rsidRPr="00E70599" w:rsidRDefault="00886A93" w:rsidP="00774107">
      <w:pPr>
        <w:spacing w:line="420" w:lineRule="exact"/>
        <w:rPr>
          <w:rFonts w:eastAsia="標楷體"/>
          <w:color w:val="000000"/>
          <w:spacing w:val="20"/>
          <w:sz w:val="36"/>
          <w:szCs w:val="36"/>
        </w:rPr>
      </w:pPr>
      <w:r w:rsidRPr="00E70599">
        <w:rPr>
          <w:rFonts w:eastAsia="標楷體"/>
          <w:noProof/>
          <w:color w:val="000000"/>
          <w:spacing w:val="2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A2BB36" wp14:editId="79194C1B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861060" cy="328930"/>
                <wp:effectExtent l="0" t="0" r="1524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0B3C" w14:textId="59382B98" w:rsidR="00886A93" w:rsidRPr="00BD5E90" w:rsidRDefault="00886A93" w:rsidP="00886A93">
                            <w:pPr>
                              <w:spacing w:line="360" w:lineRule="exact"/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5E90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附件</w:t>
                            </w:r>
                            <w:r w:rsidR="0061508F">
                              <w:rPr>
                                <w:rFonts w:eastAsia="標楷體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2BB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67.8pt;height:25.9pt;z-index:-25165721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">
                <v:textbox style="mso-fit-shape-to-text:t">
                  <w:txbxContent>
                    <w:p w14:paraId="5F320B3C" w14:textId="59382B98" w:rsidR="00886A93" w:rsidRPr="00BD5E90" w:rsidRDefault="00886A93" w:rsidP="00886A93">
                      <w:pPr>
                        <w:spacing w:line="360" w:lineRule="exact"/>
                        <w:jc w:val="center"/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</w:pPr>
                      <w:r w:rsidRPr="00BD5E90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附件</w:t>
                      </w:r>
                      <w:r w:rsidR="0061508F">
                        <w:rPr>
                          <w:rFonts w:eastAsia="標楷體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70599" w:rsidRPr="00E70599">
        <w:rPr>
          <w:rFonts w:eastAsia="標楷體" w:hint="eastAsia"/>
          <w:color w:val="000000"/>
          <w:spacing w:val="20"/>
          <w:sz w:val="36"/>
          <w:szCs w:val="36"/>
        </w:rPr>
        <w:t>中華民國證券商業同業公會</w:t>
      </w:r>
      <w:r w:rsidR="00130DF5">
        <w:rPr>
          <w:rFonts w:eastAsia="標楷體" w:hint="eastAsia"/>
          <w:color w:val="000000"/>
          <w:spacing w:val="20"/>
          <w:sz w:val="36"/>
          <w:szCs w:val="36"/>
        </w:rPr>
        <w:t>「</w:t>
      </w:r>
      <w:r w:rsidR="00E70599" w:rsidRPr="00E70599">
        <w:rPr>
          <w:rFonts w:eastAsia="標楷體" w:hint="eastAsia"/>
          <w:color w:val="000000"/>
          <w:spacing w:val="20"/>
          <w:sz w:val="36"/>
          <w:szCs w:val="36"/>
        </w:rPr>
        <w:t>證券商辦理競價拍賣配售作業處理程序</w:t>
      </w:r>
      <w:r w:rsidR="00130DF5">
        <w:rPr>
          <w:rFonts w:eastAsia="標楷體" w:hint="eastAsia"/>
          <w:color w:val="000000"/>
          <w:spacing w:val="20"/>
          <w:sz w:val="36"/>
          <w:szCs w:val="36"/>
        </w:rPr>
        <w:t>」第伍點</w:t>
      </w:r>
      <w:r w:rsidR="00FE7C4A" w:rsidRPr="00FE7C4A">
        <w:rPr>
          <w:rFonts w:eastAsia="標楷體" w:hint="eastAsia"/>
          <w:color w:val="000000"/>
          <w:spacing w:val="20"/>
          <w:sz w:val="36"/>
          <w:szCs w:val="36"/>
        </w:rPr>
        <w:t>修正條文對照表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3"/>
        <w:gridCol w:w="3683"/>
        <w:gridCol w:w="2552"/>
      </w:tblGrid>
      <w:tr w:rsidR="00774107" w:rsidRPr="00D03B75" w14:paraId="762A0D15" w14:textId="77777777" w:rsidTr="008504BA">
        <w:tc>
          <w:tcPr>
            <w:tcW w:w="3683" w:type="dxa"/>
          </w:tcPr>
          <w:p w14:paraId="11828144" w14:textId="77777777" w:rsidR="00774107" w:rsidRPr="00D03B75" w:rsidRDefault="00774107" w:rsidP="00D03B75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03B75">
              <w:rPr>
                <w:rFonts w:eastAsia="標楷體"/>
                <w:szCs w:val="24"/>
              </w:rPr>
              <w:t>修正條文</w:t>
            </w:r>
          </w:p>
        </w:tc>
        <w:tc>
          <w:tcPr>
            <w:tcW w:w="3683" w:type="dxa"/>
          </w:tcPr>
          <w:p w14:paraId="56A5C06E" w14:textId="77777777" w:rsidR="00774107" w:rsidRPr="00D03B75" w:rsidRDefault="00774107" w:rsidP="00D03B75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03B75">
              <w:rPr>
                <w:rFonts w:eastAsia="標楷體"/>
                <w:szCs w:val="24"/>
              </w:rPr>
              <w:t>現行條文</w:t>
            </w:r>
          </w:p>
        </w:tc>
        <w:tc>
          <w:tcPr>
            <w:tcW w:w="2552" w:type="dxa"/>
          </w:tcPr>
          <w:p w14:paraId="2FD414AD" w14:textId="77777777" w:rsidR="00774107" w:rsidRPr="00D03B75" w:rsidRDefault="00774107" w:rsidP="00D03B75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D03B75">
              <w:rPr>
                <w:rFonts w:eastAsia="標楷體"/>
                <w:szCs w:val="24"/>
              </w:rPr>
              <w:t>說明</w:t>
            </w:r>
          </w:p>
        </w:tc>
      </w:tr>
      <w:tr w:rsidR="00E70599" w:rsidRPr="00D03B75" w14:paraId="73C6BF1F" w14:textId="77777777" w:rsidTr="008504BA">
        <w:tc>
          <w:tcPr>
            <w:tcW w:w="3683" w:type="dxa"/>
          </w:tcPr>
          <w:p w14:paraId="56F846B4" w14:textId="77777777" w:rsidR="00E70599" w:rsidRPr="00D03B75" w:rsidRDefault="00E70599" w:rsidP="00D03B75">
            <w:pPr>
              <w:pStyle w:val="a4"/>
              <w:spacing w:line="360" w:lineRule="exact"/>
              <w:ind w:left="408" w:hangingChars="170" w:hanging="408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伍、保證金退款、扣繳價款作業程序：</w:t>
            </w:r>
          </w:p>
          <w:p w14:paraId="5D75FFE0" w14:textId="77777777" w:rsidR="00E70599" w:rsidRPr="00D03B75" w:rsidRDefault="00E70599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一、未得標及不合格件保證金退款作業：</w:t>
            </w:r>
          </w:p>
          <w:p w14:paraId="0DBD4641" w14:textId="5528AAB0" w:rsidR="00E70599" w:rsidRPr="00D03B75" w:rsidRDefault="00E70599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  <w:r w:rsidRPr="00D03B75">
              <w:rPr>
                <w:rFonts w:ascii="標楷體" w:eastAsia="標楷體"/>
                <w:b/>
                <w:bCs/>
                <w:color w:val="000000"/>
                <w:szCs w:val="24"/>
                <w:u w:val="single"/>
              </w:rPr>
              <w:t>(</w:t>
            </w:r>
            <w:proofErr w:type="gramStart"/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一</w:t>
            </w:r>
            <w:proofErr w:type="gramEnd"/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)</w:t>
            </w:r>
            <w:r w:rsidRPr="00D03B75">
              <w:rPr>
                <w:rFonts w:ascii="標楷體" w:eastAsia="標楷體" w:hint="eastAsia"/>
                <w:color w:val="000000"/>
                <w:szCs w:val="24"/>
              </w:rPr>
              <w:t>經紀商應於開標日次一營業日上午十點前，依證交所電腦資料，指示往來銀行將未得標及不合格件之保證金不加計利息予以退回，惟投標處理費不予退回。另已得標之投標人，如發現有不具本辦法第三十五條資格者或有第十三條之情事者，視為不合格件，應辦理已扣繳投標保證金之退款事宜。</w:t>
            </w:r>
          </w:p>
          <w:p w14:paraId="078B8236" w14:textId="2D1C937C" w:rsidR="00E70599" w:rsidRPr="00D03B75" w:rsidRDefault="00E70599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b/>
                <w:bCs/>
                <w:color w:val="000000"/>
                <w:szCs w:val="24"/>
                <w:u w:val="single"/>
              </w:rPr>
            </w:pP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(二)經投資人</w:t>
            </w:r>
            <w:r w:rsidR="0047040E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指示以</w:t>
            </w:r>
            <w:r w:rsidR="0054470C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證券商</w:t>
            </w: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交割專戶</w:t>
            </w:r>
            <w:r w:rsidR="0047040E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客戶分戶帳</w:t>
            </w: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辦理承銷有價證券款項</w:t>
            </w:r>
            <w:proofErr w:type="gramStart"/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收付者</w:t>
            </w:r>
            <w:proofErr w:type="gramEnd"/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，</w:t>
            </w:r>
            <w:proofErr w:type="gramStart"/>
            <w:r w:rsidR="00444B3D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前開應退款</w:t>
            </w:r>
            <w:proofErr w:type="gramEnd"/>
            <w:r w:rsidR="00444B3D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項，</w:t>
            </w: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經紀商得於</w:t>
            </w:r>
            <w:r w:rsidR="00682EC5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開標日</w:t>
            </w: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之銀行營業時間</w:t>
            </w:r>
            <w:r w:rsidR="00444B3D"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內予以退回</w:t>
            </w:r>
            <w:r w:rsidRPr="00D03B75">
              <w:rPr>
                <w:rFonts w:ascii="標楷體" w:eastAsia="標楷體" w:hint="eastAsia"/>
                <w:b/>
                <w:bCs/>
                <w:color w:val="000000"/>
                <w:szCs w:val="24"/>
                <w:u w:val="single"/>
              </w:rPr>
              <w:t>。</w:t>
            </w:r>
          </w:p>
          <w:p w14:paraId="3E7051FA" w14:textId="11459467" w:rsidR="00E70599" w:rsidRPr="00D03B75" w:rsidRDefault="00E70599" w:rsidP="00D03B75">
            <w:pPr>
              <w:spacing w:line="360" w:lineRule="exact"/>
              <w:ind w:left="480" w:hangingChars="200" w:hanging="480"/>
              <w:rPr>
                <w:rFonts w:eastAsia="標楷體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二、</w:t>
            </w:r>
            <w:r w:rsidR="00682EC5" w:rsidRPr="00D03B75">
              <w:rPr>
                <w:rFonts w:ascii="標楷體" w:eastAsia="標楷體" w:hint="eastAsia"/>
                <w:color w:val="000000"/>
                <w:szCs w:val="24"/>
              </w:rPr>
              <w:t>~三、略。</w:t>
            </w:r>
          </w:p>
        </w:tc>
        <w:tc>
          <w:tcPr>
            <w:tcW w:w="3683" w:type="dxa"/>
          </w:tcPr>
          <w:p w14:paraId="61199F67" w14:textId="5AD3BB3A" w:rsidR="00E70599" w:rsidRPr="00D03B75" w:rsidRDefault="00E70599" w:rsidP="00D03B75">
            <w:pPr>
              <w:pStyle w:val="a4"/>
              <w:spacing w:line="360" w:lineRule="exact"/>
              <w:ind w:left="408" w:hangingChars="170" w:hanging="408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伍、保證金退款、扣繳價款作業程序：</w:t>
            </w:r>
          </w:p>
          <w:p w14:paraId="2F0514BA" w14:textId="77777777" w:rsidR="00E70599" w:rsidRPr="00D03B75" w:rsidRDefault="00E70599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一、未得標及不合格件保證金退款作業：經紀商應於開標日次一營業日上午十點前，依證交所電腦資料，指示往來銀行將未得標及不合格件之保證金不加計利息予以退回，惟投標處理費不予退回。另已得標之投標人，如發現有不具本辦法第三十五條資格者或有第十三條之情事者，視為不合格件，應辦理已扣繳投標保證金之退款事宜。</w:t>
            </w:r>
          </w:p>
          <w:p w14:paraId="41285F20" w14:textId="77777777" w:rsidR="00682EC5" w:rsidRPr="00D03B75" w:rsidRDefault="00682EC5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</w:p>
          <w:p w14:paraId="674E40BB" w14:textId="77777777" w:rsidR="00682EC5" w:rsidRPr="00D03B75" w:rsidRDefault="00682EC5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</w:p>
          <w:p w14:paraId="2E6B8278" w14:textId="77777777" w:rsidR="00682EC5" w:rsidRPr="00D03B75" w:rsidRDefault="00682EC5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</w:p>
          <w:p w14:paraId="581589B6" w14:textId="77777777" w:rsidR="00682EC5" w:rsidRPr="00D03B75" w:rsidRDefault="00682EC5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</w:p>
          <w:p w14:paraId="34D68C62" w14:textId="77777777" w:rsidR="00682EC5" w:rsidRPr="00D03B75" w:rsidRDefault="00682EC5" w:rsidP="00D03B75">
            <w:pPr>
              <w:spacing w:line="360" w:lineRule="exact"/>
              <w:ind w:left="480" w:hangingChars="200" w:hanging="480"/>
              <w:rPr>
                <w:rFonts w:ascii="標楷體" w:eastAsia="標楷體"/>
                <w:color w:val="000000"/>
                <w:szCs w:val="24"/>
              </w:rPr>
            </w:pPr>
          </w:p>
          <w:p w14:paraId="7605BF61" w14:textId="35CD39A7" w:rsidR="00E70599" w:rsidRPr="00D03B75" w:rsidRDefault="00682EC5" w:rsidP="00D03B75">
            <w:pPr>
              <w:spacing w:line="360" w:lineRule="exact"/>
              <w:ind w:left="480" w:hangingChars="200" w:hanging="480"/>
              <w:rPr>
                <w:rFonts w:eastAsia="標楷體"/>
                <w:szCs w:val="24"/>
              </w:rPr>
            </w:pPr>
            <w:r w:rsidRPr="00D03B75">
              <w:rPr>
                <w:rFonts w:ascii="標楷體" w:eastAsia="標楷體" w:hint="eastAsia"/>
                <w:color w:val="000000"/>
                <w:szCs w:val="24"/>
              </w:rPr>
              <w:t>二、~三、略。</w:t>
            </w:r>
          </w:p>
        </w:tc>
        <w:tc>
          <w:tcPr>
            <w:tcW w:w="2552" w:type="dxa"/>
          </w:tcPr>
          <w:p w14:paraId="558BEB17" w14:textId="3B5C1257" w:rsidR="00E70599" w:rsidRPr="00D03B75" w:rsidRDefault="00370519" w:rsidP="00D03B75">
            <w:pPr>
              <w:spacing w:line="360" w:lineRule="exact"/>
              <w:rPr>
                <w:rFonts w:eastAsia="標楷體"/>
                <w:szCs w:val="24"/>
              </w:rPr>
            </w:pPr>
            <w:r w:rsidRPr="00D03B75">
              <w:rPr>
                <w:rFonts w:eastAsia="標楷體"/>
                <w:bCs/>
                <w:spacing w:val="4"/>
                <w:szCs w:val="24"/>
              </w:rPr>
              <w:t>為優化證券商交割專戶客戶分戶帳運用功能，提升投資人</w:t>
            </w:r>
            <w:r w:rsidRPr="00D03B75">
              <w:rPr>
                <w:rFonts w:eastAsia="標楷體" w:hint="eastAsia"/>
                <w:bCs/>
                <w:spacing w:val="4"/>
                <w:szCs w:val="24"/>
              </w:rPr>
              <w:t>資金運用</w:t>
            </w:r>
            <w:r w:rsidRPr="00D03B75">
              <w:rPr>
                <w:rFonts w:eastAsia="標楷體"/>
                <w:bCs/>
                <w:spacing w:val="4"/>
                <w:szCs w:val="24"/>
              </w:rPr>
              <w:t>效益</w:t>
            </w:r>
            <w:r w:rsidRPr="00D03B75">
              <w:rPr>
                <w:rFonts w:eastAsia="標楷體"/>
                <w:szCs w:val="24"/>
              </w:rPr>
              <w:t>，</w:t>
            </w:r>
            <w:r w:rsidRPr="00D03B75">
              <w:rPr>
                <w:rFonts w:eastAsia="標楷體" w:hint="eastAsia"/>
                <w:szCs w:val="24"/>
              </w:rPr>
              <w:t>修正伍、一、，明訂投資人透過分戶帳辦理承銷有價證券款項收付之款項收付時，經紀商得於開標日之銀行時間內，將未得標及不合格件之保證金予以退回。</w:t>
            </w:r>
          </w:p>
        </w:tc>
      </w:tr>
    </w:tbl>
    <w:p w14:paraId="469596A5" w14:textId="77777777" w:rsidR="00774107" w:rsidRPr="00774107" w:rsidRDefault="00774107"/>
    <w:sectPr w:rsidR="00774107" w:rsidRPr="00774107" w:rsidSect="00D03B75">
      <w:footerReference w:type="default" r:id="rId8"/>
      <w:pgSz w:w="11906" w:h="16838"/>
      <w:pgMar w:top="1440" w:right="1080" w:bottom="1440" w:left="1080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E47F" w14:textId="77777777" w:rsidR="00212FFF" w:rsidRDefault="00212FFF" w:rsidP="00CE6A22">
      <w:r>
        <w:separator/>
      </w:r>
    </w:p>
  </w:endnote>
  <w:endnote w:type="continuationSeparator" w:id="0">
    <w:p w14:paraId="46E3CB31" w14:textId="77777777" w:rsidR="00212FFF" w:rsidRDefault="00212FFF" w:rsidP="00CE6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370704"/>
      <w:docPartObj>
        <w:docPartGallery w:val="Page Numbers (Bottom of Page)"/>
        <w:docPartUnique/>
      </w:docPartObj>
    </w:sdtPr>
    <w:sdtContent>
      <w:p w14:paraId="51DD71CF" w14:textId="1E5E5B7C" w:rsidR="00D03B75" w:rsidRDefault="00D03B7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C61B41" w14:textId="77777777" w:rsidR="00111663" w:rsidRDefault="001116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A054" w14:textId="77777777" w:rsidR="00212FFF" w:rsidRDefault="00212FFF" w:rsidP="00CE6A22">
      <w:r>
        <w:separator/>
      </w:r>
    </w:p>
  </w:footnote>
  <w:footnote w:type="continuationSeparator" w:id="0">
    <w:p w14:paraId="5ABFEE1D" w14:textId="77777777" w:rsidR="00212FFF" w:rsidRDefault="00212FFF" w:rsidP="00CE6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35C3"/>
    <w:multiLevelType w:val="hybridMultilevel"/>
    <w:tmpl w:val="803295A0"/>
    <w:lvl w:ilvl="0" w:tplc="F9BC5B5E">
      <w:start w:val="1"/>
      <w:numFmt w:val="taiwaneseCountingThousand"/>
      <w:lvlText w:val="（%1）"/>
      <w:lvlJc w:val="left"/>
      <w:pPr>
        <w:ind w:left="855" w:hanging="855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EFF5B44"/>
    <w:multiLevelType w:val="hybridMultilevel"/>
    <w:tmpl w:val="F8020B68"/>
    <w:lvl w:ilvl="0" w:tplc="3CDE983A">
      <w:start w:val="1"/>
      <w:numFmt w:val="taiwaneseCountingThousand"/>
      <w:lvlText w:val="(%1)"/>
      <w:lvlJc w:val="left"/>
      <w:pPr>
        <w:ind w:left="1665" w:hanging="465"/>
      </w:pPr>
      <w:rPr>
        <w:rFonts w:hint="default"/>
      </w:rPr>
    </w:lvl>
    <w:lvl w:ilvl="1" w:tplc="D0642888">
      <w:start w:val="1"/>
      <w:numFmt w:val="decimal"/>
      <w:lvlText w:val="%2、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 w16cid:durableId="1658067969">
    <w:abstractNumId w:val="0"/>
  </w:num>
  <w:num w:numId="2" w16cid:durableId="1909224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07"/>
    <w:rsid w:val="000033F5"/>
    <w:rsid w:val="000146B7"/>
    <w:rsid w:val="00052A8F"/>
    <w:rsid w:val="00111663"/>
    <w:rsid w:val="00125819"/>
    <w:rsid w:val="00130DF5"/>
    <w:rsid w:val="001438AB"/>
    <w:rsid w:val="001B7C1D"/>
    <w:rsid w:val="00212FFF"/>
    <w:rsid w:val="0021589A"/>
    <w:rsid w:val="002250E5"/>
    <w:rsid w:val="0024035A"/>
    <w:rsid w:val="00280755"/>
    <w:rsid w:val="0028165D"/>
    <w:rsid w:val="002D433A"/>
    <w:rsid w:val="002E7679"/>
    <w:rsid w:val="00370519"/>
    <w:rsid w:val="00383D49"/>
    <w:rsid w:val="003C7477"/>
    <w:rsid w:val="00442E8B"/>
    <w:rsid w:val="00444B3D"/>
    <w:rsid w:val="0047040E"/>
    <w:rsid w:val="0052153D"/>
    <w:rsid w:val="00530DC5"/>
    <w:rsid w:val="0054470C"/>
    <w:rsid w:val="00577854"/>
    <w:rsid w:val="005C1A15"/>
    <w:rsid w:val="005C2312"/>
    <w:rsid w:val="005F1D37"/>
    <w:rsid w:val="0061508F"/>
    <w:rsid w:val="00620A4D"/>
    <w:rsid w:val="00682EC5"/>
    <w:rsid w:val="006960DB"/>
    <w:rsid w:val="006F4B92"/>
    <w:rsid w:val="00774107"/>
    <w:rsid w:val="0083445E"/>
    <w:rsid w:val="008504BA"/>
    <w:rsid w:val="00886A93"/>
    <w:rsid w:val="008B7373"/>
    <w:rsid w:val="008F120B"/>
    <w:rsid w:val="008F19C2"/>
    <w:rsid w:val="00906254"/>
    <w:rsid w:val="00915ED5"/>
    <w:rsid w:val="00945248"/>
    <w:rsid w:val="00945963"/>
    <w:rsid w:val="00952852"/>
    <w:rsid w:val="009F0093"/>
    <w:rsid w:val="009F392E"/>
    <w:rsid w:val="00A5141D"/>
    <w:rsid w:val="00A971E9"/>
    <w:rsid w:val="00AF2CAF"/>
    <w:rsid w:val="00B57FD2"/>
    <w:rsid w:val="00B764FA"/>
    <w:rsid w:val="00C44ADB"/>
    <w:rsid w:val="00C46A6C"/>
    <w:rsid w:val="00CE6A22"/>
    <w:rsid w:val="00CE77CD"/>
    <w:rsid w:val="00D03B75"/>
    <w:rsid w:val="00D52D02"/>
    <w:rsid w:val="00DB5B77"/>
    <w:rsid w:val="00DD5496"/>
    <w:rsid w:val="00E70599"/>
    <w:rsid w:val="00E7547A"/>
    <w:rsid w:val="00EA4744"/>
    <w:rsid w:val="00F32DE8"/>
    <w:rsid w:val="00F50CB3"/>
    <w:rsid w:val="00F86618"/>
    <w:rsid w:val="00FD53F5"/>
    <w:rsid w:val="00FE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EECE2"/>
  <w15:chartTrackingRefBased/>
  <w15:docId w15:val="{ABDCC20A-17EA-45CB-B315-7FE5665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10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107"/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774107"/>
    <w:rPr>
      <w:rFonts w:ascii="細明體" w:eastAsia="細明體" w:hAnsi="Courier New"/>
    </w:rPr>
  </w:style>
  <w:style w:type="character" w:customStyle="1" w:styleId="a5">
    <w:name w:val="純文字 字元"/>
    <w:basedOn w:val="a0"/>
    <w:link w:val="a4"/>
    <w:rsid w:val="00774107"/>
    <w:rPr>
      <w:rFonts w:ascii="細明體" w:eastAsia="細明體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77410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E6A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E6A2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E6A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E6A22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basedOn w:val="a"/>
    <w:rsid w:val="002E7679"/>
    <w:pPr>
      <w:widowControl/>
      <w:snapToGrid w:val="0"/>
      <w:spacing w:before="40" w:after="40" w:line="300" w:lineRule="exact"/>
      <w:ind w:left="1191" w:right="113"/>
      <w:jc w:val="both"/>
    </w:pPr>
    <w:rPr>
      <w:rFonts w:ascii="標楷體" w:eastAsia="標楷體" w:hAnsi="Arial"/>
      <w:color w:val="000000"/>
      <w:spacing w:val="-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2C835-8F79-457D-B114-CE01269C9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韻琳 鍾</dc:creator>
  <cp:keywords/>
  <dc:description/>
  <cp:lastModifiedBy>鍾韻琳</cp:lastModifiedBy>
  <cp:revision>2</cp:revision>
  <cp:lastPrinted>2024-08-26T07:02:00Z</cp:lastPrinted>
  <dcterms:created xsi:type="dcterms:W3CDTF">2024-12-24T05:41:00Z</dcterms:created>
  <dcterms:modified xsi:type="dcterms:W3CDTF">2024-12-24T05:41:00Z</dcterms:modified>
</cp:coreProperties>
</file>